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EXAM PROGRAM FOR 4TH YEAR STUDENTS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IN THE DISCIPLINE "CLINICAL ENDODONTICS"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DENTISTRY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202</w:t>
      </w:r>
      <w:r>
        <w:rPr>
          <w:rFonts w:ascii="Times New Roman" w:hAnsi="Times New Roman"/>
          <w:b/>
          <w:bCs/>
          <w:lang w:val="en-US"/>
        </w:rPr>
        <w:t>4-2025 academic year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The purpose of the program</w:t>
      </w:r>
      <w:r>
        <w:rPr>
          <w:rFonts w:ascii="Times New Roman" w:hAnsi="Times New Roman"/>
          <w:lang w:val="en-US"/>
        </w:rPr>
        <w:t xml:space="preserve"> is to evaluate the complex of knowledge, skills and abilities acquired by the student in the course of studying the discipline.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ab/>
        <w:t xml:space="preserve">The exam is comprehensive and consists of 2 stages.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da-DK"/>
        </w:rPr>
        <w:t>Stage 1</w:t>
      </w:r>
      <w:r>
        <w:rPr>
          <w:rFonts w:ascii="Times New Roman" w:hAnsi="Times New Roman"/>
          <w:lang w:val="en-US"/>
        </w:rPr>
        <w:t xml:space="preserve"> is testing, the purpose of which is to assess the level of theor</w:t>
      </w:r>
      <w:r>
        <w:rPr>
          <w:rFonts w:ascii="Times New Roman" w:hAnsi="Times New Roman"/>
          <w:lang w:val="en-US"/>
        </w:rPr>
        <w:t xml:space="preserve">etical training of students, mastery of skills, readiness for professional activity and the degree of development of professional thinking.  </w:t>
      </w:r>
      <w:r>
        <w:rPr>
          <w:rFonts w:ascii="Times New Roman" w:hAnsi="Times New Roman"/>
          <w:lang w:val="en-US"/>
        </w:rPr>
        <w:tab/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b/>
          <w:bCs/>
          <w:lang w:val="da-DK"/>
        </w:rPr>
        <w:t>Stage 2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assessment of practical skills (objective structured clinical examination) in a simulation environment</w:t>
      </w:r>
      <w:r>
        <w:rPr>
          <w:rFonts w:ascii="Times New Roman" w:hAnsi="Times New Roman"/>
          <w:lang w:val="en-US"/>
        </w:rPr>
        <w:t xml:space="preserve">. Its purpose is to demonstrate practical and communicative skills in accordance with the qualification requirements of the specialty. </w:t>
      </w: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The assessment of the exam for each discipline consists of: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- marks for the testing section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40%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marks for the cor</w:t>
      </w:r>
      <w:r>
        <w:rPr>
          <w:rFonts w:ascii="Times New Roman" w:hAnsi="Times New Roman"/>
          <w:lang w:val="en-US"/>
        </w:rPr>
        <w:t xml:space="preserve">responding stations of the practical stage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60%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overall assessment in the discipline "Clinical endodontics" consists of an assessment for testing and an average overall assessment at the 2nd practical stage.</w:t>
      </w: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 xml:space="preserve">Stage 1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en-US"/>
        </w:rPr>
        <w:t xml:space="preserve">testing on MCQ test tasks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Each</w:t>
      </w:r>
      <w:r>
        <w:rPr>
          <w:rFonts w:ascii="Times New Roman" w:hAnsi="Times New Roman"/>
          <w:lang w:val="en-US"/>
        </w:rPr>
        <w:t xml:space="preserve"> student will be asked to answer 100 test tasks. The time for each task is 1 minute - the total testing time is 1 hour and 40 minutes</w:t>
      </w:r>
    </w:p>
    <w:p w:rsidR="00A433E8" w:rsidRPr="00AD1D24" w:rsidRDefault="00A433E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Matrix of examination test tasks in the discipline</w:t>
      </w:r>
    </w:p>
    <w:tbl>
      <w:tblPr>
        <w:tblStyle w:val="TableNormal"/>
        <w:tblW w:w="99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415"/>
        <w:gridCol w:w="1062"/>
        <w:gridCol w:w="923"/>
      </w:tblGrid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33E8" w:rsidRDefault="00C2416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Topic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understanding</w:t>
            </w:r>
            <w:proofErr w:type="spellEnd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use</w:t>
            </w:r>
            <w:proofErr w:type="spellEnd"/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  <w:rPr>
                <w:rFonts w:ascii="Times Roman" w:eastAsia="Times Roman" w:hAnsi="Times Roman" w:cs="Times Roman"/>
                <w:lang w:val="en-US"/>
              </w:rPr>
            </w:pPr>
            <w:r w:rsidRPr="00AD1D24">
              <w:rPr>
                <w:rFonts w:ascii="Times Roman" w:hAnsi="Times Roman"/>
                <w:lang w:val="en-US"/>
              </w:rPr>
              <w:t xml:space="preserve">Pulpitis. Etiology and pathogenesis of pulpitis, classification. </w:t>
            </w:r>
          </w:p>
          <w:p w:rsidR="00A433E8" w:rsidRDefault="00C2416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</w:pPr>
            <w:r w:rsidRPr="00AD1D24">
              <w:rPr>
                <w:rFonts w:ascii="Times Roman" w:hAnsi="Times Roman"/>
                <w:lang w:val="en-US"/>
              </w:rPr>
              <w:t>Pulpitis of temporary teeth in children. Classification, etiology, pathogenesis, clinic, diagnosis.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Clinic, diagnosis, differential diagnosis of acute forms of pulpitis of permanent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teeth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Clinic, diagnosis, differential diagnosis of chronic forms of pulpitis.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Clinic, diagnosis, chronic forms of pulpitis in the acute stage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Clinic, diagnosis, differential diagnosis of traumatic, retrograde and </w:t>
            </w:r>
            <w:proofErr w:type="spellStart"/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concretensive</w:t>
            </w:r>
            <w:proofErr w:type="spellEnd"/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pulpit is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r w:rsidRPr="00AD1D24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Treatment of pulpitis. Classification of methods.  Conservative (biological) methods of pulpitis treatment.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Indications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contraindications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implementation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r w:rsidRPr="00AD1D24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Vital methods of pulpitis treatment. Indications. The choice of </w:t>
            </w:r>
            <w:r w:rsidRPr="00AD1D24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anesthesia.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Stages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event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proofErr w:type="spellStart"/>
            <w:r w:rsidRPr="00AD1D24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Devital</w:t>
            </w:r>
            <w:proofErr w:type="spellEnd"/>
            <w:r w:rsidRPr="00AD1D24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methods of pulpitis treatment. Indications, contraindications, stages, methods of implementation, errors and complications, ways of elimination.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Features of treatment of pulpitis of temporary and permanent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teeth in children with unformed roots of permanent teeth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Errors and complications in the diagnosis and treatment of pulpitis of temporary and permanent teeth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Apical periodontitis, classification. Acute periodontitis.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Clinic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differential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diagnosis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Periodontitis of temporary teeth. Classification, clinical course, diagnosis, differential diagnosis. Clinic, diagnosis of periodontitis of permanent teeth with unformed roots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Traumatic, drug-induced periodontitis.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Clinic, diagnosis, differential diagnosis.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Clinic, diagnosis, differential diagnosis of chronic forms and exacerbations of chronic periodontitis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433E8" w:rsidRDefault="00C24160">
            <w:pPr>
              <w:pStyle w:val="a6"/>
              <w:spacing w:after="0" w:line="240" w:lineRule="auto"/>
              <w:ind w:left="20"/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Treatment of acute and aggravated forms of periodontitis of temporary and permanent teeth.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permanent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teeth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unformed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roots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433E8" w:rsidRPr="00AD1D24" w:rsidRDefault="00C24160">
            <w:pPr>
              <w:pStyle w:val="a6"/>
              <w:spacing w:after="0" w:line="240" w:lineRule="auto"/>
              <w:ind w:left="20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Treatment of chronic periodontitis of temporary and permanent teeth. Conservative surgical methods of treatment of chronic forms of periodontitis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A433E8">
            <w:pPr>
              <w:rPr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 xml:space="preserve">The use of physiotherapeutic methods </w:t>
            </w:r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of treatment for complications of caries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A433E8">
            <w:pPr>
              <w:rPr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Errors and complications in the treatment of various forms of periodontitis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A433E8"/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val="en-US"/>
              </w:rPr>
              <w:t>Total</w:t>
            </w:r>
            <w:r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 xml:space="preserve">                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</w:tbl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>"Clinical endodontics"</w:t>
      </w:r>
    </w:p>
    <w:p w:rsidR="00A433E8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STAGE 2 - O</w:t>
      </w:r>
      <w:r>
        <w:rPr>
          <w:rFonts w:ascii="Times New Roman" w:hAnsi="Times New Roman"/>
          <w:lang w:val="en-US"/>
        </w:rPr>
        <w:t xml:space="preserve">SCE (objective structured clinical examination) in a </w:t>
      </w:r>
      <w:r>
        <w:rPr>
          <w:rFonts w:ascii="Times New Roman" w:hAnsi="Times New Roman"/>
          <w:lang w:val="en-US"/>
        </w:rPr>
        <w:t>simulation environment.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Each student has to walk 2 </w:t>
      </w:r>
      <w:proofErr w:type="gramStart"/>
      <w:r>
        <w:rPr>
          <w:rFonts w:ascii="Times New Roman" w:hAnsi="Times New Roman"/>
          <w:lang w:val="en-US"/>
        </w:rPr>
        <w:t>stations,</w:t>
      </w:r>
      <w:proofErr w:type="gramEnd"/>
      <w:r>
        <w:rPr>
          <w:rFonts w:ascii="Times New Roman" w:hAnsi="Times New Roman"/>
          <w:lang w:val="en-US"/>
        </w:rPr>
        <w:t xml:space="preserve"> each station takes 15 minutes.</w:t>
      </w: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station "Diagnosis and preparation of a treatment plan for caries complications" - the student must demonstrate the ability to diagnose and make an action plan</w:t>
      </w:r>
      <w:r>
        <w:rPr>
          <w:rFonts w:ascii="Times New Roman" w:hAnsi="Times New Roman"/>
          <w:lang w:val="en-US"/>
        </w:rPr>
        <w:t xml:space="preserve"> for a patient with pulp and periodontal diseases.  The assessment is carried out according to the evaluation sheet.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Endodontic treatment station the student must demonstrate skills in choosing and working with tools for expansion, </w:t>
      </w:r>
      <w:proofErr w:type="spellStart"/>
      <w:r>
        <w:rPr>
          <w:rFonts w:ascii="Times New Roman" w:hAnsi="Times New Roman"/>
          <w:lang w:val="en-US"/>
        </w:rPr>
        <w:t>obturation</w:t>
      </w:r>
      <w:proofErr w:type="spellEnd"/>
      <w:r>
        <w:rPr>
          <w:rFonts w:ascii="Times New Roman" w:hAnsi="Times New Roman"/>
          <w:lang w:val="en-US"/>
        </w:rPr>
        <w:t xml:space="preserve"> of the root c</w:t>
      </w:r>
      <w:r>
        <w:rPr>
          <w:rFonts w:ascii="Times New Roman" w:hAnsi="Times New Roman"/>
          <w:lang w:val="en-US"/>
        </w:rPr>
        <w:t xml:space="preserve">anal, sequence of actions in determining the working length of the canal, assessing the completeness of treatment and </w:t>
      </w:r>
      <w:proofErr w:type="spellStart"/>
      <w:r>
        <w:rPr>
          <w:rFonts w:ascii="Times New Roman" w:hAnsi="Times New Roman"/>
          <w:lang w:val="en-US"/>
        </w:rPr>
        <w:t>obturation</w:t>
      </w:r>
      <w:proofErr w:type="spellEnd"/>
      <w:r>
        <w:rPr>
          <w:rFonts w:ascii="Times New Roman" w:hAnsi="Times New Roman"/>
          <w:lang w:val="en-US"/>
        </w:rPr>
        <w:t xml:space="preserve"> of the root canal. The assessment is carried out according to the evaluation sheet.</w:t>
      </w: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Pr="00AD1D24" w:rsidRDefault="00A4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ASSESSMENT SHEET FOR THE ADMISSION </w:t>
      </w:r>
      <w:r>
        <w:rPr>
          <w:rFonts w:ascii="Times New Roman" w:hAnsi="Times New Roman"/>
          <w:b/>
          <w:bCs/>
          <w:lang w:val="en-US"/>
        </w:rPr>
        <w:t>OF THE SECOND STAGE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"Diagnosis and preparation of a treatment plan for a patient with complications of caries"</w:t>
      </w: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</w:p>
    <w:p w:rsidR="00A433E8" w:rsidRPr="00AD1D24" w:rsidRDefault="00AD1D24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Exam Date "___"_________202</w:t>
      </w:r>
      <w:r w:rsidRPr="00AD1D24">
        <w:rPr>
          <w:rFonts w:ascii="Times New Roman" w:hAnsi="Times New Roman"/>
          <w:b/>
          <w:bCs/>
          <w:lang w:val="en-US"/>
        </w:rPr>
        <w:t>5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Student's full name________________________</w:t>
      </w:r>
    </w:p>
    <w:tbl>
      <w:tblPr>
        <w:tblStyle w:val="TableNormal"/>
        <w:tblW w:w="105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10"/>
        <w:gridCol w:w="992"/>
        <w:gridCol w:w="992"/>
        <w:gridCol w:w="993"/>
        <w:gridCol w:w="992"/>
        <w:gridCol w:w="1227"/>
        <w:gridCol w:w="1134"/>
      </w:tblGrid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№</w:t>
            </w: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6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  <w:lang w:val="en-US"/>
              </w:rPr>
              <w:t>Level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E8" w:rsidRDefault="00A433E8"/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E8" w:rsidRDefault="00A433E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Excellent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Very well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Acceptable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Requires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correction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Unacceptable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Not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completed</w:t>
            </w:r>
            <w:proofErr w:type="spellEnd"/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After reviewing the clinical situation, he identified the leading symptoms of the disease.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Justified the choice of additional research methods.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  <w:rPr>
                <w:rFonts w:ascii="Times Roman" w:eastAsia="Times Roman" w:hAnsi="Times Roman" w:cs="Times Roman"/>
                <w:lang w:val="en-US"/>
              </w:rPr>
            </w:pPr>
            <w:r w:rsidRPr="00AD1D24">
              <w:rPr>
                <w:rFonts w:ascii="Times Roman" w:hAnsi="Times Roman"/>
                <w:lang w:val="en-US"/>
              </w:rPr>
              <w:t>Interpreted the received (expected) or available</w:t>
            </w:r>
          </w:p>
          <w:p w:rsidR="00A433E8" w:rsidRDefault="00C24160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/>
            </w:pPr>
            <w:r w:rsidRPr="00AD1D24">
              <w:rPr>
                <w:rFonts w:ascii="Times Roman" w:hAnsi="Times Roman"/>
                <w:lang w:val="en-US"/>
              </w:rPr>
              <w:t>results of additional research methods.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dentified a range of similar diseases and logically carried out a differential diagnosis with similar diseases and reasonably excluded them.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Correctly compared, systematized and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analyzed the information for diagnosis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ave correctly drawn up a treatment plan (management) of the patient in full in accordance with the treatment protocol of the Republic of Kazakhstan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rgued for the choice of a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treatment method taking into account the criteria of effectiveness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lastRenderedPageBreak/>
              <w:t>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Demonstrated knowledge of the mechanism of action of prescribed treatment methods and medicinal materials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Formulated the necessary recommendations for the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patient and the prognosis of the disease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treatment plan is drawn up logically and reasonably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Course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  <w:b/>
          <w:bCs/>
          <w:lang w:val="en-US"/>
        </w:rPr>
        <w:t>___ group ______</w:t>
      </w:r>
    </w:p>
    <w:p w:rsidR="00A433E8" w:rsidRDefault="00A4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EVALUATION SHEET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Endodontic treatment of caries complications</w:t>
      </w:r>
    </w:p>
    <w:p w:rsidR="00A433E8" w:rsidRDefault="00A433E8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</w:p>
    <w:p w:rsidR="00A433E8" w:rsidRPr="00AD1D24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en-US"/>
        </w:rPr>
        <w:t xml:space="preserve">Exam Date </w:t>
      </w:r>
      <w:r w:rsidR="00AD1D24">
        <w:rPr>
          <w:rFonts w:ascii="Times New Roman" w:hAnsi="Times New Roman"/>
          <w:b/>
          <w:bCs/>
          <w:lang w:val="en-US"/>
        </w:rPr>
        <w:t>"___"_________202</w:t>
      </w:r>
      <w:r w:rsidR="00AD1D24">
        <w:rPr>
          <w:rFonts w:ascii="Times New Roman" w:hAnsi="Times New Roman"/>
          <w:b/>
          <w:bCs/>
          <w:lang w:val="ru-RU"/>
        </w:rPr>
        <w:t>5</w:t>
      </w:r>
      <w:bookmarkStart w:id="0" w:name="_GoBack"/>
      <w:bookmarkEnd w:id="0"/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Student's full name________________________</w:t>
      </w:r>
    </w:p>
    <w:tbl>
      <w:tblPr>
        <w:tblStyle w:val="TableNormal"/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10"/>
        <w:gridCol w:w="992"/>
        <w:gridCol w:w="992"/>
        <w:gridCol w:w="993"/>
        <w:gridCol w:w="992"/>
        <w:gridCol w:w="992"/>
        <w:gridCol w:w="851"/>
      </w:tblGrid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№</w:t>
            </w:r>
          </w:p>
        </w:tc>
        <w:tc>
          <w:tcPr>
            <w:tcW w:w="3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Criteria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Level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E8" w:rsidRDefault="00A433E8"/>
        </w:tc>
        <w:tc>
          <w:tcPr>
            <w:tcW w:w="3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3E8" w:rsidRDefault="00A433E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Excellent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Very well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Acceptable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Requires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correction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Unacceptable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</w:pPr>
            <w:proofErr w:type="spellStart"/>
            <w:r>
              <w:rPr>
                <w:b/>
                <w:bCs/>
              </w:rPr>
              <w:t>Not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completed</w:t>
            </w:r>
            <w:proofErr w:type="spellEnd"/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Correctly revealed the essence of the task being performed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ave correctly </w:t>
            </w: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chosen the necessary tools, materials, and devices to complete the task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3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Gave a complete description of the selected components for the task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4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Correctly described the methodology of the task being performed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5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The sequence of actions performed is correctly followed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6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The necessary conditions for the implementation of the stages for the prevention of possible errors are named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7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Confidence in the actions performed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lastRenderedPageBreak/>
              <w:t>8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Comments on the progress of the task are clearly provided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9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used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10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Pr="00AD1D24" w:rsidRDefault="00C24160">
            <w:pPr>
              <w:spacing w:after="0" w:line="240" w:lineRule="auto"/>
              <w:jc w:val="both"/>
              <w:rPr>
                <w:lang w:val="en-US"/>
              </w:rPr>
            </w:pPr>
            <w:r w:rsidRPr="00AD1D24">
              <w:rPr>
                <w:rFonts w:ascii="Times New Roman" w:hAnsi="Times New Roman"/>
                <w:sz w:val="24"/>
                <w:szCs w:val="24"/>
                <w:lang w:val="en-US"/>
              </w:rPr>
              <w:t>The ability to answer the examiner's questions during the course of the assignment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A433E8">
            <w:pPr>
              <w:pStyle w:val="a7"/>
              <w:jc w:val="center"/>
            </w:pPr>
          </w:p>
          <w:p w:rsidR="00A433E8" w:rsidRDefault="00C24160">
            <w:pPr>
              <w:pStyle w:val="a7"/>
              <w:jc w:val="center"/>
            </w:pPr>
            <w:r>
              <w:t>0</w:t>
            </w:r>
          </w:p>
        </w:tc>
      </w:tr>
      <w:tr w:rsidR="00A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33E8" w:rsidRDefault="00C24160">
            <w:pPr>
              <w:pStyle w:val="a7"/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en-US"/>
        </w:rPr>
        <w:t xml:space="preserve">Course </w:t>
      </w:r>
      <w:r>
        <w:rPr>
          <w:rFonts w:ascii="Times New Roman" w:hAnsi="Times New Roman"/>
          <w:b/>
          <w:bCs/>
        </w:rPr>
        <w:t xml:space="preserve">– </w:t>
      </w:r>
      <w:r>
        <w:rPr>
          <w:rFonts w:ascii="Times New Roman" w:hAnsi="Times New Roman"/>
          <w:b/>
          <w:bCs/>
          <w:lang w:val="en-US"/>
        </w:rPr>
        <w:t>___ group ______</w:t>
      </w:r>
    </w:p>
    <w:p w:rsidR="00A433E8" w:rsidRDefault="00A433E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Instructions on the technology of the exam: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exam consists of 2 stages: 1st stage - testing in offline-written mode; 2nd stage - OS</w:t>
      </w:r>
      <w:r>
        <w:rPr>
          <w:rFonts w:ascii="Times New Roman" w:hAnsi="Times New Roman"/>
        </w:rPr>
        <w:t>CE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The duration of the exam is: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- 1.5 minutes are given for 1 test, 150 minutes for 100 tests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- 15 mi</w:t>
      </w:r>
      <w:r>
        <w:rPr>
          <w:rFonts w:ascii="Times New Roman" w:hAnsi="Times New Roman"/>
          <w:lang w:val="en-US"/>
        </w:rPr>
        <w:t>nutes are given for 1 student at the OS</w:t>
      </w:r>
      <w:r>
        <w:rPr>
          <w:rFonts w:ascii="Times New Roman" w:hAnsi="Times New Roman"/>
        </w:rPr>
        <w:t>CE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At the specified time, the student enters the classroom with mandatory proctoring (the camera and microphone cannot be turned off) 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student receives his own version of the texts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According to the OSCE stage, </w:t>
      </w:r>
      <w:r>
        <w:rPr>
          <w:rFonts w:ascii="Times New Roman" w:hAnsi="Times New Roman"/>
          <w:lang w:val="en-US"/>
        </w:rPr>
        <w:t>ticket generation is performed automatically for each student.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exam begins with mandatory proctoring (you cannot turn off the camera and microphone)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The exam is given </w:t>
      </w:r>
      <w:proofErr w:type="gramStart"/>
      <w:r>
        <w:rPr>
          <w:rFonts w:ascii="Times New Roman" w:hAnsi="Times New Roman"/>
          <w:lang w:val="en-US"/>
        </w:rPr>
        <w:t>orally,</w:t>
      </w:r>
      <w:proofErr w:type="gramEnd"/>
      <w:r>
        <w:rPr>
          <w:rFonts w:ascii="Times New Roman" w:hAnsi="Times New Roman"/>
          <w:lang w:val="en-US"/>
        </w:rPr>
        <w:t xml:space="preserve"> the answers are recorded in checklists for each clinical situation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exam i</w:t>
      </w:r>
      <w:r>
        <w:rPr>
          <w:rFonts w:ascii="Times New Roman" w:hAnsi="Times New Roman"/>
          <w:lang w:val="en-US"/>
        </w:rPr>
        <w:t>s evaluated according to the exam program: 40% - test results; 60% - OSCE results</w:t>
      </w:r>
    </w:p>
    <w:p w:rsidR="00A433E8" w:rsidRDefault="00C2416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The exam results are submitted to the university system within 48 hours.</w:t>
      </w:r>
    </w:p>
    <w:p w:rsidR="00A433E8" w:rsidRPr="00AD1D24" w:rsidRDefault="00A433E8">
      <w:pPr>
        <w:rPr>
          <w:lang w:val="en-US"/>
        </w:rPr>
      </w:pPr>
    </w:p>
    <w:sectPr w:rsidR="00A433E8" w:rsidRPr="00AD1D24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60" w:rsidRDefault="00C24160">
      <w:pPr>
        <w:spacing w:after="0" w:line="240" w:lineRule="auto"/>
      </w:pPr>
      <w:r>
        <w:separator/>
      </w:r>
    </w:p>
  </w:endnote>
  <w:endnote w:type="continuationSeparator" w:id="0">
    <w:p w:rsidR="00C24160" w:rsidRDefault="00C2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3E8" w:rsidRDefault="00A43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60" w:rsidRDefault="00C24160">
      <w:pPr>
        <w:spacing w:after="0" w:line="240" w:lineRule="auto"/>
      </w:pPr>
      <w:r>
        <w:separator/>
      </w:r>
    </w:p>
  </w:footnote>
  <w:footnote w:type="continuationSeparator" w:id="0">
    <w:p w:rsidR="00C24160" w:rsidRDefault="00C2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3E8" w:rsidRDefault="00A433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E8"/>
    <w:rsid w:val="00A433E8"/>
    <w:rsid w:val="00AD1D24"/>
    <w:rsid w:val="00C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F5CF"/>
  <w15:docId w15:val="{2A8C223A-1AE5-45C0-8B90-178C602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spacing w:after="12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a7">
    <w:name w:val="No Spacing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6719</Characters>
  <Application>Microsoft Office Word</Application>
  <DocSecurity>0</DocSecurity>
  <Lines>55</Lines>
  <Paragraphs>15</Paragraphs>
  <ScaleCrop>false</ScaleCrop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Legion</cp:lastModifiedBy>
  <cp:revision>2</cp:revision>
  <dcterms:created xsi:type="dcterms:W3CDTF">2025-02-05T06:02:00Z</dcterms:created>
  <dcterms:modified xsi:type="dcterms:W3CDTF">2025-02-05T06:02:00Z</dcterms:modified>
</cp:coreProperties>
</file>